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纯音听力计和耳声阻抗/导纳测量仪器主要技术指标</w:t>
      </w:r>
      <w:bookmarkStart w:id="0" w:name="_GoBack"/>
      <w:bookmarkEnd w:id="0"/>
    </w:p>
    <w:p>
      <w:pPr>
        <w:numPr>
          <w:ilvl w:val="0"/>
          <w:numId w:val="1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纯音听力计应满足JJG 388-2012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中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所有计量性能要求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；主机应配备显示屏；主机应具有能实时连接PC传输数据的USB接口。</w:t>
      </w:r>
    </w:p>
    <w:p>
      <w:pPr>
        <w:numPr>
          <w:ilvl w:val="0"/>
          <w:numId w:val="2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耳声阻抗/导纳测量仪器应满足JJG 991-2017</w:t>
      </w: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中</w:t>
      </w:r>
      <w:r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  <w:t>所有计量性能要求，并且其纯音探测音除226Hz的频率外，还应该具备至少3个可选频率；主机操作面板应具备触摸功能。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0BE09"/>
    <w:multiLevelType w:val="singleLevel"/>
    <w:tmpl w:val="2550BE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67FFCA"/>
    <w:multiLevelType w:val="singleLevel"/>
    <w:tmpl w:val="5867FFC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ZWU1M2I1NTM3MDE1NDExNGM5Zjc5ZWQxNGI0YjgifQ=="/>
  </w:docVars>
  <w:rsids>
    <w:rsidRoot w:val="6D00547F"/>
    <w:rsid w:val="037D43D5"/>
    <w:rsid w:val="1C73453C"/>
    <w:rsid w:val="2A4F2A79"/>
    <w:rsid w:val="646F1658"/>
    <w:rsid w:val="6D0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2024-04-17T07:42:00Z</dcterms:created>
  <dc:creator>ADMIN</dc:creator>
  <cp:lastModifiedBy>ADMIN</cp:lastModifiedBy>
  <dcterms:modified xsi:type="dcterms:W3CDTF">2024-04-17T09:09:00Z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EE22D0F9FA7743A8A01D9D46B0B99940_11</vt:lpwstr>
  </property>
</Properties>
</file>